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0D018361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C926AB">
        <w:rPr>
          <w:b/>
          <w:bCs/>
          <w:sz w:val="24"/>
          <w:szCs w:val="24"/>
        </w:rPr>
        <w:t xml:space="preserve">G. T. 2000 </w:t>
      </w:r>
      <w:r w:rsidR="008F3E97">
        <w:rPr>
          <w:sz w:val="24"/>
          <w:szCs w:val="24"/>
        </w:rPr>
        <w:t>ME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2AF8D2A1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7E71B6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433293E9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583C54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36386070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C926AB">
        <w:rPr>
          <w:sz w:val="20"/>
          <w:szCs w:val="20"/>
        </w:rPr>
        <w:t>550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4A6910F2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750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3CFE37B2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C926AB">
        <w:rPr>
          <w:sz w:val="20"/>
          <w:szCs w:val="20"/>
        </w:rPr>
        <w:t>690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4FBCD01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F3E97">
        <w:rPr>
          <w:sz w:val="20"/>
          <w:szCs w:val="20"/>
        </w:rPr>
        <w:t>1</w:t>
      </w:r>
      <w:r w:rsidR="00C926AB">
        <w:rPr>
          <w:sz w:val="20"/>
          <w:szCs w:val="20"/>
        </w:rPr>
        <w:t>,</w:t>
      </w:r>
      <w:r w:rsidR="008F3E97">
        <w:rPr>
          <w:sz w:val="20"/>
          <w:szCs w:val="20"/>
        </w:rPr>
        <w:t>0</w:t>
      </w:r>
      <w:r w:rsidR="00B42954">
        <w:rPr>
          <w:sz w:val="20"/>
          <w:szCs w:val="20"/>
        </w:rPr>
        <w:t xml:space="preserve"> kV</w:t>
      </w:r>
    </w:p>
    <w:p w14:paraId="359FD25D" w14:textId="1D287743" w:rsidR="00C926AB" w:rsidRDefault="00C926AB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61340-4-1, leitfähig verlegt) ≤ 1x 10</w:t>
      </w:r>
      <w:r w:rsidR="008F3E97">
        <w:rPr>
          <w:sz w:val="20"/>
          <w:szCs w:val="20"/>
          <w:vertAlign w:val="superscript"/>
        </w:rPr>
        <w:t>8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Ω </w:t>
      </w:r>
      <w:r>
        <w:rPr>
          <w:sz w:val="16"/>
          <w:szCs w:val="16"/>
        </w:rPr>
        <w:t>(geometr. Mittelwert)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408784A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C926AB">
        <w:rPr>
          <w:sz w:val="20"/>
          <w:szCs w:val="20"/>
        </w:rPr>
        <w:t>3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6BDACAD9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926A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2845D5C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926A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3A3B92B2" w14:textId="4A2ED112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926A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1A77795A" w14:textId="7F3BD18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C926A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773E7E" w14:textId="50770DA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</w:t>
            </w:r>
            <w:r w:rsidR="00C926A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1DA56EF2" w14:textId="2D16563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C926AB">
              <w:rPr>
                <w:bCs/>
                <w:sz w:val="16"/>
                <w:szCs w:val="16"/>
              </w:rPr>
              <w:t>60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E4D6990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C926AB">
        <w:rPr>
          <w:sz w:val="20"/>
          <w:szCs w:val="20"/>
        </w:rPr>
        <w:t xml:space="preserve">12 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30A610B1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C926AB">
        <w:rPr>
          <w:b/>
          <w:bCs/>
          <w:sz w:val="20"/>
          <w:szCs w:val="20"/>
        </w:rPr>
        <w:t>G.T. 2000</w:t>
      </w:r>
      <w:r w:rsidR="00795A28" w:rsidRPr="00795A28">
        <w:rPr>
          <w:sz w:val="20"/>
          <w:szCs w:val="20"/>
        </w:rPr>
        <w:t xml:space="preserve"> </w:t>
      </w:r>
      <w:r w:rsidR="0078476A">
        <w:rPr>
          <w:sz w:val="20"/>
          <w:szCs w:val="20"/>
        </w:rPr>
        <w:t>ME –</w:t>
      </w:r>
      <w:r w:rsidR="00795A28" w:rsidRPr="00795A28">
        <w:rPr>
          <w:sz w:val="20"/>
          <w:szCs w:val="20"/>
        </w:rPr>
        <w:t xml:space="preserve"> </w:t>
      </w:r>
      <w:r w:rsidR="0078476A">
        <w:rPr>
          <w:sz w:val="20"/>
          <w:szCs w:val="20"/>
        </w:rPr>
        <w:t>F</w:t>
      </w:r>
      <w:r w:rsidR="006D7469">
        <w:rPr>
          <w:sz w:val="20"/>
          <w:szCs w:val="20"/>
        </w:rPr>
        <w:t xml:space="preserve">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B01D" w14:textId="77777777" w:rsidR="004A453C" w:rsidRDefault="004A45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76004B36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4A453C">
      <w:rPr>
        <w:color w:val="808080"/>
        <w:sz w:val="16"/>
        <w:szCs w:val="16"/>
      </w:rPr>
      <w:t>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64DD" w14:textId="77777777" w:rsidR="004A453C" w:rsidRDefault="004A45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8A12" w14:textId="77777777" w:rsidR="004A453C" w:rsidRDefault="004A45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13A" w14:textId="77777777" w:rsidR="004A453C" w:rsidRDefault="004A45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204512"/>
    <w:rsid w:val="002251BD"/>
    <w:rsid w:val="002344B8"/>
    <w:rsid w:val="00270926"/>
    <w:rsid w:val="002E1DDE"/>
    <w:rsid w:val="00305EA8"/>
    <w:rsid w:val="003B129B"/>
    <w:rsid w:val="003B39CA"/>
    <w:rsid w:val="003D542F"/>
    <w:rsid w:val="003F7496"/>
    <w:rsid w:val="00442D6F"/>
    <w:rsid w:val="00473203"/>
    <w:rsid w:val="0047332B"/>
    <w:rsid w:val="004A4471"/>
    <w:rsid w:val="004A453C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476A"/>
    <w:rsid w:val="00786671"/>
    <w:rsid w:val="00795A28"/>
    <w:rsid w:val="007B5072"/>
    <w:rsid w:val="007E71B6"/>
    <w:rsid w:val="00822C47"/>
    <w:rsid w:val="00844564"/>
    <w:rsid w:val="00872A0A"/>
    <w:rsid w:val="008A1A95"/>
    <w:rsid w:val="008A3EAF"/>
    <w:rsid w:val="008B4AE5"/>
    <w:rsid w:val="008C2506"/>
    <w:rsid w:val="008F3E97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26AB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7</cp:revision>
  <cp:lastPrinted>2021-06-09T09:55:00Z</cp:lastPrinted>
  <dcterms:created xsi:type="dcterms:W3CDTF">2021-06-09T09:47:00Z</dcterms:created>
  <dcterms:modified xsi:type="dcterms:W3CDTF">2021-06-10T07:19:00Z</dcterms:modified>
</cp:coreProperties>
</file>