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3E95182C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253C5D">
        <w:rPr>
          <w:b/>
          <w:bCs/>
          <w:sz w:val="24"/>
          <w:szCs w:val="24"/>
        </w:rPr>
        <w:t xml:space="preserve">SOLID </w:t>
      </w:r>
      <w:r w:rsidR="00253C5D">
        <w:rPr>
          <w:sz w:val="24"/>
          <w:szCs w:val="24"/>
        </w:rPr>
        <w:t xml:space="preserve">modular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2EB6BF74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6A5362">
        <w:rPr>
          <w:sz w:val="20"/>
        </w:rPr>
        <w:t>PA</w:t>
      </w:r>
      <w:r w:rsidR="006A5362" w:rsidRPr="00B20887">
        <w:rPr>
          <w:color w:val="FF0000"/>
          <w:sz w:val="20"/>
        </w:rPr>
        <w:t>X</w:t>
      </w:r>
      <w:r w:rsidR="006A5362">
        <w:rPr>
          <w:color w:val="FF0000"/>
          <w:sz w:val="20"/>
        </w:rPr>
        <w:t xml:space="preserve"> </w:t>
      </w:r>
      <w:proofErr w:type="spellStart"/>
      <w:r w:rsidR="006A5362" w:rsidRPr="008D284B">
        <w:rPr>
          <w:sz w:val="20"/>
        </w:rPr>
        <w:t>do</w:t>
      </w:r>
      <w:r w:rsidR="006A5362" w:rsidRPr="00B20887">
        <w:rPr>
          <w:color w:val="FF0000"/>
          <w:sz w:val="20"/>
        </w:rPr>
        <w:t>rix</w:t>
      </w:r>
      <w:proofErr w:type="spellEnd"/>
      <w:r w:rsidR="006A5362" w:rsidRPr="008D284B">
        <w:rPr>
          <w:sz w:val="20"/>
          <w:vertAlign w:val="superscript"/>
        </w:rPr>
        <w:t>®</w:t>
      </w:r>
      <w:r w:rsidR="002344B8">
        <w:rPr>
          <w:sz w:val="20"/>
        </w:rPr>
        <w:t xml:space="preserve"> </w:t>
      </w:r>
      <w:proofErr w:type="spellStart"/>
      <w:r w:rsidR="002344B8">
        <w:rPr>
          <w:sz w:val="20"/>
        </w:rPr>
        <w:t>solution</w:t>
      </w:r>
      <w:proofErr w:type="spellEnd"/>
      <w:r w:rsidR="002344B8">
        <w:rPr>
          <w:sz w:val="20"/>
        </w:rPr>
        <w:t xml:space="preserve"> </w:t>
      </w:r>
      <w:proofErr w:type="spellStart"/>
      <w:r w:rsidR="002344B8">
        <w:rPr>
          <w:sz w:val="20"/>
        </w:rPr>
        <w:t>dyed</w:t>
      </w:r>
      <w:proofErr w:type="spellEnd"/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245FF98C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 xml:space="preserve">mehrfarbig </w:t>
      </w:r>
      <w:proofErr w:type="spellStart"/>
      <w:r w:rsidR="006A5362">
        <w:rPr>
          <w:sz w:val="20"/>
          <w:szCs w:val="20"/>
        </w:rPr>
        <w:t>ungemustert</w:t>
      </w:r>
      <w:proofErr w:type="spellEnd"/>
      <w:r w:rsidR="006A5362">
        <w:rPr>
          <w:sz w:val="20"/>
          <w:szCs w:val="20"/>
        </w:rPr>
        <w:t>/</w:t>
      </w:r>
      <w:r w:rsidR="00986D32">
        <w:rPr>
          <w:sz w:val="20"/>
          <w:szCs w:val="20"/>
        </w:rPr>
        <w:t>meliert</w:t>
      </w:r>
    </w:p>
    <w:p w14:paraId="361044E5" w14:textId="5939E4A1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Textilrücken (Vlies)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4B3AFD58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6A5362">
        <w:rPr>
          <w:sz w:val="20"/>
          <w:szCs w:val="20"/>
        </w:rPr>
        <w:t>7</w:t>
      </w:r>
      <w:r>
        <w:rPr>
          <w:sz w:val="20"/>
          <w:szCs w:val="20"/>
        </w:rPr>
        <w:t xml:space="preserve"> mm</w:t>
      </w:r>
    </w:p>
    <w:p w14:paraId="40BBE156" w14:textId="6610FF31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D47F71">
        <w:rPr>
          <w:sz w:val="20"/>
          <w:szCs w:val="20"/>
        </w:rPr>
        <w:t>3</w:t>
      </w:r>
      <w:r w:rsidR="006A5362">
        <w:rPr>
          <w:sz w:val="20"/>
          <w:szCs w:val="20"/>
        </w:rPr>
        <w:t>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72FAFC4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 w:rsidR="006A5362">
        <w:rPr>
          <w:sz w:val="20"/>
          <w:szCs w:val="20"/>
        </w:rPr>
        <w:t>2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2AF34201" w14:textId="1E97402F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50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5137E73F" w14:textId="6A8225E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6A5362" w:rsidRPr="007B5072">
        <w:rPr>
          <w:sz w:val="20"/>
          <w:szCs w:val="20"/>
        </w:rPr>
        <w:t>Module</w:t>
      </w:r>
      <w:r w:rsidR="006A5362">
        <w:rPr>
          <w:sz w:val="20"/>
          <w:szCs w:val="20"/>
        </w:rPr>
        <w:t xml:space="preserve"> 50 x 50 cm</w:t>
      </w:r>
      <w:r w:rsidR="007B5072">
        <w:rPr>
          <w:sz w:val="20"/>
          <w:szCs w:val="20"/>
        </w:rPr>
        <w:t xml:space="preserve"> | 25 x 100 cm VE 4 m</w:t>
      </w:r>
      <w:r w:rsidR="007B5072" w:rsidRPr="007B5072">
        <w:rPr>
          <w:sz w:val="20"/>
          <w:szCs w:val="20"/>
          <w:vertAlign w:val="superscript"/>
        </w:rPr>
        <w:t>2</w:t>
      </w:r>
      <w:r w:rsidR="007B5072" w:rsidRPr="007B5072">
        <w:rPr>
          <w:sz w:val="20"/>
          <w:szCs w:val="20"/>
        </w:rPr>
        <w:t>/</w:t>
      </w:r>
      <w:r w:rsidR="007B5072">
        <w:rPr>
          <w:sz w:val="20"/>
          <w:szCs w:val="20"/>
        </w:rPr>
        <w:t xml:space="preserve">Karton | </w:t>
      </w:r>
      <w:proofErr w:type="spellStart"/>
      <w:r w:rsidR="007B5072" w:rsidRPr="007B5072">
        <w:rPr>
          <w:sz w:val="20"/>
          <w:szCs w:val="20"/>
        </w:rPr>
        <w:t>Bahnenware</w:t>
      </w:r>
      <w:proofErr w:type="spellEnd"/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3FB91F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D47F71">
        <w:rPr>
          <w:sz w:val="20"/>
          <w:szCs w:val="20"/>
        </w:rPr>
        <w:t>1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proofErr w:type="spellStart"/>
            <w:r w:rsidRPr="00CB746C">
              <w:rPr>
                <w:b/>
                <w:sz w:val="16"/>
                <w:szCs w:val="16"/>
              </w:rPr>
              <w:t>Freq</w:t>
            </w:r>
            <w:proofErr w:type="spellEnd"/>
            <w:r w:rsidRPr="00CB746C">
              <w:rPr>
                <w:b/>
                <w:sz w:val="16"/>
                <w:szCs w:val="16"/>
              </w:rPr>
              <w:t>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680" w:type="dxa"/>
            <w:shd w:val="clear" w:color="auto" w:fill="auto"/>
          </w:tcPr>
          <w:p w14:paraId="2E02BDE4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680" w:type="dxa"/>
            <w:shd w:val="clear" w:color="auto" w:fill="auto"/>
          </w:tcPr>
          <w:p w14:paraId="3A3B92B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680" w:type="dxa"/>
            <w:shd w:val="clear" w:color="auto" w:fill="auto"/>
          </w:tcPr>
          <w:p w14:paraId="1A77795A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680" w:type="dxa"/>
            <w:shd w:val="clear" w:color="auto" w:fill="auto"/>
          </w:tcPr>
          <w:p w14:paraId="74773E7E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0,36</w:t>
            </w:r>
          </w:p>
        </w:tc>
        <w:tc>
          <w:tcPr>
            <w:tcW w:w="680" w:type="dxa"/>
            <w:shd w:val="clear" w:color="auto" w:fill="auto"/>
          </w:tcPr>
          <w:p w14:paraId="1DA56EF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0,53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310CDEA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D47F71">
        <w:rPr>
          <w:sz w:val="20"/>
          <w:szCs w:val="20"/>
        </w:rPr>
        <w:t>09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proofErr w:type="spellStart"/>
      <w:r w:rsidR="00B11A0D">
        <w:rPr>
          <w:sz w:val="20"/>
          <w:szCs w:val="20"/>
        </w:rPr>
        <w:t>Section</w:t>
      </w:r>
      <w:proofErr w:type="spellEnd"/>
      <w:r w:rsidR="00B11A0D">
        <w:rPr>
          <w:sz w:val="20"/>
          <w:szCs w:val="20"/>
        </w:rPr>
        <w:t xml:space="preserve">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</w:t>
      </w:r>
      <w:proofErr w:type="spellStart"/>
      <w:r w:rsidRPr="00190179">
        <w:rPr>
          <w:b/>
          <w:sz w:val="20"/>
          <w:szCs w:val="20"/>
        </w:rPr>
        <w:t>PROFiCERT</w:t>
      </w:r>
      <w:proofErr w:type="spellEnd"/>
      <w:r w:rsidRPr="00190179">
        <w:rPr>
          <w:b/>
          <w:sz w:val="20"/>
          <w:szCs w:val="20"/>
        </w:rPr>
        <w:t xml:space="preserve">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proofErr w:type="spellStart"/>
      <w:r w:rsidRPr="00190179">
        <w:rPr>
          <w:b/>
          <w:sz w:val="20"/>
          <w:szCs w:val="20"/>
        </w:rPr>
        <w:t>produkt</w:t>
      </w:r>
      <w:proofErr w:type="spellEnd"/>
      <w:r w:rsidRPr="00190179">
        <w:rPr>
          <w:b/>
          <w:sz w:val="20"/>
          <w:szCs w:val="20"/>
        </w:rPr>
        <w:t xml:space="preserve">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</w:t>
      </w:r>
      <w:proofErr w:type="spellStart"/>
      <w:r w:rsidRPr="00190179">
        <w:rPr>
          <w:b/>
          <w:sz w:val="20"/>
          <w:szCs w:val="20"/>
        </w:rPr>
        <w:t>PROFiCERT</w:t>
      </w:r>
      <w:proofErr w:type="spellEnd"/>
      <w:r w:rsidRPr="00190179">
        <w:rPr>
          <w:b/>
          <w:sz w:val="20"/>
          <w:szCs w:val="20"/>
        </w:rPr>
        <w:t xml:space="preserve">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</w:t>
      </w:r>
      <w:proofErr w:type="spellStart"/>
      <w:r w:rsidRPr="00190179">
        <w:rPr>
          <w:b/>
          <w:sz w:val="20"/>
          <w:szCs w:val="20"/>
        </w:rPr>
        <w:t>produkt</w:t>
      </w:r>
      <w:proofErr w:type="spellEnd"/>
      <w:r w:rsidRPr="00190179">
        <w:rPr>
          <w:b/>
          <w:sz w:val="20"/>
          <w:szCs w:val="20"/>
        </w:rPr>
        <w:t xml:space="preserve">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7E0B646" w14:textId="309FB89C" w:rsidR="00554AEA" w:rsidRPr="00A91DF0" w:rsidRDefault="000D7594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Module oder </w:t>
      </w:r>
      <w:proofErr w:type="spellStart"/>
      <w:r>
        <w:rPr>
          <w:color w:val="000000"/>
          <w:sz w:val="20"/>
          <w:szCs w:val="20"/>
        </w:rPr>
        <w:t>Bahnenware</w:t>
      </w:r>
      <w:proofErr w:type="spellEnd"/>
      <w:r>
        <w:rPr>
          <w:color w:val="000000"/>
          <w:sz w:val="20"/>
          <w:szCs w:val="20"/>
        </w:rPr>
        <w:t xml:space="preserve"> liefern </w:t>
      </w:r>
      <w:r w:rsidR="00554AEA">
        <w:rPr>
          <w:color w:val="000000"/>
          <w:sz w:val="20"/>
          <w:szCs w:val="20"/>
        </w:rPr>
        <w:t xml:space="preserve">und auf dem gemäß VOB Teil C, DIN 18365, Abschnitt 3, </w:t>
      </w:r>
      <w:proofErr w:type="spellStart"/>
      <w:r w:rsidR="00554AEA">
        <w:rPr>
          <w:color w:val="000000"/>
          <w:sz w:val="20"/>
          <w:szCs w:val="20"/>
        </w:rPr>
        <w:t>verlegereifen</w:t>
      </w:r>
      <w:proofErr w:type="spellEnd"/>
      <w:r w:rsidR="00554AEA">
        <w:rPr>
          <w:color w:val="000000"/>
          <w:sz w:val="20"/>
          <w:szCs w:val="20"/>
        </w:rPr>
        <w:t xml:space="preserve"> Untergrund in fachgerechter Ausführung</w:t>
      </w:r>
      <w:r>
        <w:rPr>
          <w:color w:val="000000"/>
          <w:sz w:val="20"/>
          <w:szCs w:val="20"/>
        </w:rPr>
        <w:t xml:space="preserve"> vollflächig mit zur wieder aufnehmbaren Verlegung geeig</w:t>
      </w:r>
      <w:r w:rsidR="00554AEA">
        <w:rPr>
          <w:color w:val="000000"/>
          <w:sz w:val="20"/>
          <w:szCs w:val="20"/>
        </w:rPr>
        <w:t>neten</w:t>
      </w:r>
      <w:r>
        <w:rPr>
          <w:color w:val="000000"/>
          <w:sz w:val="20"/>
          <w:szCs w:val="20"/>
        </w:rPr>
        <w:t xml:space="preserve"> Haftfixierung bzw. geeignetem Trockenkl</w:t>
      </w:r>
      <w:r w:rsidR="00554AEA">
        <w:rPr>
          <w:color w:val="000000"/>
          <w:sz w:val="20"/>
          <w:szCs w:val="20"/>
        </w:rPr>
        <w:t>ebstoff</w:t>
      </w:r>
      <w:r w:rsidR="003B129B">
        <w:rPr>
          <w:color w:val="000000"/>
          <w:sz w:val="20"/>
          <w:szCs w:val="20"/>
        </w:rPr>
        <w:t xml:space="preserve"> verlegen, einschließlich aller Materialien </w:t>
      </w:r>
      <w:r w:rsidR="00554AEA">
        <w:rPr>
          <w:color w:val="000000"/>
          <w:sz w:val="20"/>
          <w:szCs w:val="20"/>
        </w:rPr>
        <w:t>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078C91D5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253C5D">
        <w:rPr>
          <w:b/>
          <w:bCs/>
          <w:sz w:val="20"/>
          <w:szCs w:val="20"/>
        </w:rPr>
        <w:t>SOLID</w:t>
      </w:r>
      <w:r w:rsidR="00795A28" w:rsidRPr="00795A28">
        <w:rPr>
          <w:sz w:val="20"/>
          <w:szCs w:val="20"/>
        </w:rPr>
        <w:t xml:space="preserve"> </w:t>
      </w:r>
      <w:r w:rsidR="00253C5D">
        <w:rPr>
          <w:sz w:val="20"/>
          <w:szCs w:val="20"/>
        </w:rPr>
        <w:t xml:space="preserve">modular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B690" w14:textId="77777777" w:rsidR="000E7BAE" w:rsidRDefault="000E7B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95178AC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0E7BAE">
      <w:rPr>
        <w:color w:val="808080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21D1" w14:textId="77777777" w:rsidR="000E7BAE" w:rsidRDefault="000E7B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C7FB" w14:textId="77777777" w:rsidR="000E7BAE" w:rsidRDefault="000E7B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D081" w14:textId="77777777" w:rsidR="000E7BAE" w:rsidRDefault="000E7B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0E7BAE"/>
    <w:rsid w:val="001027BD"/>
    <w:rsid w:val="00133135"/>
    <w:rsid w:val="00133A3E"/>
    <w:rsid w:val="001B2437"/>
    <w:rsid w:val="001D664E"/>
    <w:rsid w:val="00204512"/>
    <w:rsid w:val="002251BD"/>
    <w:rsid w:val="002344B8"/>
    <w:rsid w:val="00253C5D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4471"/>
    <w:rsid w:val="00515A47"/>
    <w:rsid w:val="00554AEA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3EAF"/>
    <w:rsid w:val="008B4AE5"/>
    <w:rsid w:val="008C2506"/>
    <w:rsid w:val="00986D32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EF1B30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34</cp:revision>
  <cp:lastPrinted>2021-06-09T08:27:00Z</cp:lastPrinted>
  <dcterms:created xsi:type="dcterms:W3CDTF">2019-03-06T12:10:00Z</dcterms:created>
  <dcterms:modified xsi:type="dcterms:W3CDTF">2021-06-10T07:21:00Z</dcterms:modified>
</cp:coreProperties>
</file>